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FF1567" w:rsidRPr="0022258A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FF1567" w:rsidRP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993FC3" w:rsidRDefault="00993FC3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C53AEE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="00E56335"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233DDF" w:rsidRDefault="007A55EF" w:rsidP="00233DDF">
      <w:pPr>
        <w:spacing w:before="100" w:beforeAutospacing="1" w:line="276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233DDF" w:rsidRPr="00233DDF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</w:p>
    <w:p w:rsidR="00D02397" w:rsidRDefault="00947190" w:rsidP="00D02397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47190">
        <w:rPr>
          <w:rFonts w:ascii="Times New Roman" w:hAnsi="Times New Roman"/>
          <w:bCs/>
          <w:sz w:val="28"/>
          <w:szCs w:val="28"/>
          <w:lang w:val="ru-RU"/>
        </w:rPr>
        <w:t xml:space="preserve">ул. Гагарина, ул. </w:t>
      </w:r>
      <w:proofErr w:type="spellStart"/>
      <w:r w:rsidRPr="00947190">
        <w:rPr>
          <w:rFonts w:ascii="Times New Roman" w:hAnsi="Times New Roman"/>
          <w:bCs/>
          <w:sz w:val="28"/>
          <w:szCs w:val="28"/>
          <w:lang w:val="ru-RU"/>
        </w:rPr>
        <w:t>Розинга</w:t>
      </w:r>
      <w:proofErr w:type="spellEnd"/>
      <w:r w:rsidRPr="00947190">
        <w:rPr>
          <w:rFonts w:ascii="Times New Roman" w:hAnsi="Times New Roman"/>
          <w:bCs/>
          <w:sz w:val="28"/>
          <w:szCs w:val="28"/>
          <w:lang w:val="ru-RU"/>
        </w:rPr>
        <w:t>, просп. Дзержинского</w:t>
      </w:r>
    </w:p>
    <w:p w:rsidR="00947190" w:rsidRPr="009A7171" w:rsidRDefault="00947190" w:rsidP="00D02397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3D62" w:rsidRDefault="00E56335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Архангельск" </w:t>
      </w:r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>, просп. Дзержинского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, 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______, 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действующего (ей) на основании___________________</w:t>
      </w:r>
      <w:r w:rsidR="0088319E">
        <w:rPr>
          <w:rFonts w:ascii="Times New Roman" w:hAnsi="Times New Roman"/>
          <w:sz w:val="28"/>
          <w:szCs w:val="28"/>
          <w:lang w:val="ru-RU"/>
        </w:rPr>
        <w:t>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>
        <w:rPr>
          <w:rFonts w:ascii="Times New Roman" w:hAnsi="Times New Roman"/>
          <w:b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88319E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bCs/>
          <w:sz w:val="28"/>
          <w:szCs w:val="28"/>
          <w:lang w:val="ru-RU"/>
        </w:rPr>
        <w:t>, просп. Дзержинского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233DDF">
        <w:rPr>
          <w:rFonts w:ascii="Times New Roman" w:hAnsi="Times New Roman"/>
          <w:bCs/>
          <w:sz w:val="28"/>
          <w:szCs w:val="28"/>
          <w:lang w:val="ru-RU"/>
        </w:rPr>
        <w:t>27 декабря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2022 года № </w:t>
      </w:r>
      <w:r w:rsidR="00233DDF">
        <w:rPr>
          <w:rFonts w:ascii="Times New Roman" w:hAnsi="Times New Roman"/>
          <w:bCs/>
          <w:sz w:val="28"/>
          <w:szCs w:val="28"/>
          <w:lang w:val="ru-RU"/>
        </w:rPr>
        <w:t>2</w:t>
      </w:r>
      <w:r w:rsidR="00947190">
        <w:rPr>
          <w:rFonts w:ascii="Times New Roman" w:hAnsi="Times New Roman"/>
          <w:bCs/>
          <w:sz w:val="28"/>
          <w:szCs w:val="28"/>
          <w:lang w:val="ru-RU"/>
        </w:rPr>
        <w:t>302</w:t>
      </w:r>
      <w:r w:rsidR="00FF7CD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FF7CD5">
        <w:rPr>
          <w:rFonts w:ascii="Times New Roman" w:hAnsi="Times New Roman"/>
          <w:bCs/>
          <w:sz w:val="28"/>
          <w:szCs w:val="28"/>
          <w:lang w:val="ru-RU"/>
        </w:rPr>
        <w:br/>
        <w:t>(с изменениями)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947190" w:rsidRPr="00947190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от "___"___________20___года  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741412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C398E" w:rsidRPr="002C398E" w:rsidRDefault="00E56335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"Город Архангельск" </w:t>
      </w:r>
      <w:r w:rsidR="00947190" w:rsidRPr="00947190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233DDF" w:rsidRPr="00233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(местоположение и границы указаны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1 к настоящему Договору), площадью </w:t>
      </w:r>
      <w:r w:rsidR="00947190">
        <w:rPr>
          <w:rFonts w:ascii="Times New Roman" w:hAnsi="Times New Roman"/>
          <w:sz w:val="28"/>
          <w:szCs w:val="28"/>
          <w:lang w:val="ru-RU"/>
        </w:rPr>
        <w:t>2,7470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га,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принятого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постановлением Главы городского округа "Город Архангельск" от 27 декабря </w:t>
      </w:r>
      <w:r w:rsidR="00FF7CD5">
        <w:rPr>
          <w:rFonts w:ascii="Times New Roman" w:hAnsi="Times New Roman"/>
          <w:bCs/>
          <w:sz w:val="28"/>
          <w:szCs w:val="28"/>
          <w:lang w:val="ru-RU"/>
        </w:rPr>
        <w:br/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2022 года № </w:t>
      </w:r>
      <w:r w:rsidR="00947190">
        <w:rPr>
          <w:rFonts w:ascii="Times New Roman" w:hAnsi="Times New Roman"/>
          <w:bCs/>
          <w:sz w:val="28"/>
          <w:szCs w:val="28"/>
          <w:lang w:val="ru-RU"/>
        </w:rPr>
        <w:t>2302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FF7CD5">
        <w:rPr>
          <w:rFonts w:ascii="Times New Roman" w:hAnsi="Times New Roman"/>
          <w:bCs/>
          <w:sz w:val="28"/>
          <w:szCs w:val="28"/>
          <w:lang w:val="ru-RU"/>
        </w:rPr>
        <w:t xml:space="preserve">(с изменениями) </w:t>
      </w:r>
      <w:r w:rsidR="00947190" w:rsidRPr="00947190">
        <w:rPr>
          <w:rFonts w:ascii="Times New Roman" w:hAnsi="Times New Roman"/>
          <w:sz w:val="28"/>
          <w:szCs w:val="28"/>
          <w:lang w:val="ru-RU"/>
        </w:rPr>
        <w:t>в границах</w:t>
      </w:r>
      <w:proofErr w:type="gramEnd"/>
      <w:r w:rsidR="00947190" w:rsidRPr="0094719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947190" w:rsidRPr="00947190">
        <w:rPr>
          <w:rFonts w:ascii="Times New Roman" w:hAnsi="Times New Roman"/>
          <w:sz w:val="28"/>
          <w:szCs w:val="28"/>
          <w:lang w:val="ru-RU"/>
        </w:rPr>
        <w:t xml:space="preserve">части элемента планировочной структуры: ул. Гагарина, ул. </w:t>
      </w:r>
      <w:proofErr w:type="spellStart"/>
      <w:r w:rsidR="00947190" w:rsidRPr="00947190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947190" w:rsidRPr="00947190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233DDF" w:rsidRPr="00233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(далее – </w:t>
      </w:r>
      <w:r w:rsidR="00065DD9">
        <w:rPr>
          <w:rFonts w:ascii="Times New Roman" w:hAnsi="Times New Roman"/>
          <w:sz w:val="28"/>
          <w:szCs w:val="28"/>
          <w:lang w:val="ru-RU"/>
        </w:rPr>
        <w:t>т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ерритория жилой застройки), обязуется в установленные настоящим Договором сроки своими силами и за свой счет и (или) с привлечением других лиц и (или) средств других лиц в соответствии с действующим законодательством Российской Федерации выполнить предусмотренные настоящим Договором обязательства, а "Администрация" обязуется создать предусмотренные настоящим Договором условия для выполнения "Застройщиком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 своих обязательств. </w:t>
      </w:r>
    </w:p>
    <w:p w:rsidR="00065DD9" w:rsidRDefault="00E56335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в отношении всей </w:t>
      </w:r>
      <w:r w:rsidR="00065DD9" w:rsidRPr="00065DD9">
        <w:rPr>
          <w:rFonts w:ascii="Times New Roman" w:hAnsi="Times New Roman"/>
          <w:sz w:val="28"/>
          <w:szCs w:val="28"/>
          <w:lang w:val="ru-RU"/>
        </w:rPr>
        <w:t>территория жилой застройки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D02397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не вправе передавать свои права и обязанности, предусмотренные настоящим Договором, иному лицу.</w:t>
      </w:r>
    </w:p>
    <w:p w:rsidR="00FA254B" w:rsidRDefault="00E56335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застройки, подлежащих сносу, реконструкции в рамках 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526E6" w:rsidRDefault="00B526E6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proofErr w:type="gramStart"/>
      <w:r w:rsidR="0088319E">
        <w:rPr>
          <w:rFonts w:ascii="Times New Roman" w:hAnsi="Times New Roman"/>
          <w:sz w:val="28"/>
          <w:szCs w:val="28"/>
          <w:lang w:val="ru-RU"/>
        </w:rPr>
        <w:t>-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несение изменений в проект планировки </w:t>
      </w:r>
      <w:r w:rsidR="00FA65B6">
        <w:rPr>
          <w:rFonts w:ascii="Times New Roman" w:hAnsi="Times New Roman"/>
          <w:sz w:val="28"/>
          <w:szCs w:val="28"/>
          <w:lang w:val="ru-RU"/>
        </w:rPr>
        <w:t>Привокзального района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муниципального образования "Город Архангельск", утвержденный распоряжением мэра города Архангельска от </w:t>
      </w:r>
      <w:r w:rsidR="00FA65B6">
        <w:rPr>
          <w:rFonts w:ascii="Times New Roman" w:hAnsi="Times New Roman"/>
          <w:sz w:val="28"/>
          <w:szCs w:val="28"/>
          <w:lang w:val="ru-RU"/>
        </w:rPr>
        <w:t>25 февраля 2015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FA65B6">
        <w:rPr>
          <w:rFonts w:ascii="Times New Roman" w:hAnsi="Times New Roman"/>
          <w:sz w:val="28"/>
          <w:szCs w:val="28"/>
          <w:lang w:val="ru-RU"/>
        </w:rPr>
        <w:t>472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р (с изменениями),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в соответствии 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8149D" w:rsidRDefault="00703207" w:rsidP="0058149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>решения о комплексном развитии территории жилой застройки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с архитектурно-строительным проектированием, 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 "</w:t>
      </w:r>
      <w:r w:rsidR="00E90B4F">
        <w:rPr>
          <w:rFonts w:ascii="Times New Roman" w:hAnsi="Times New Roman"/>
          <w:sz w:val="28"/>
          <w:szCs w:val="28"/>
          <w:lang w:val="ru-RU"/>
        </w:rPr>
        <w:t xml:space="preserve">Администрацией" в соответствии </w:t>
      </w:r>
      <w:bookmarkStart w:id="0" w:name="_GoBack"/>
      <w:bookmarkEnd w:id="0"/>
      <w:r w:rsidR="0058149D">
        <w:rPr>
          <w:rFonts w:ascii="Times New Roman" w:hAnsi="Times New Roman"/>
          <w:sz w:val="28"/>
          <w:szCs w:val="28"/>
          <w:lang w:val="ru-RU"/>
        </w:rPr>
        <w:t>с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>ой документацией 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Pr="009A7171" w:rsidRDefault="00157D4D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88319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lastRenderedPageBreak/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, указанные 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391CE2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391CE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E56335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EF737C" w:rsidRDefault="00741412" w:rsidP="00741412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на участие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Договора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Получатель____________________________________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741412" w:rsidRDefault="00741412" w:rsidP="00741412">
      <w:pPr>
        <w:numPr>
          <w:ilvl w:val="0"/>
          <w:numId w:val="47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E7826" w:rsidRPr="00B4084D" w:rsidRDefault="00F0640A" w:rsidP="00836A91">
      <w:pPr>
        <w:spacing w:before="100" w:beforeAutospacing="1" w:line="276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467B1F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 w:rsidR="00124A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</w:t>
      </w:r>
      <w:r w:rsidR="00124AC1" w:rsidRPr="00124AC1">
        <w:rPr>
          <w:rFonts w:ascii="Times New Roman" w:hAnsi="Times New Roman"/>
          <w:sz w:val="28"/>
          <w:szCs w:val="28"/>
          <w:lang w:val="ru-RU"/>
        </w:rPr>
        <w:lastRenderedPageBreak/>
        <w:t>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22258A">
        <w:rPr>
          <w:rFonts w:ascii="Times New Roman" w:hAnsi="Times New Roman"/>
          <w:sz w:val="28"/>
          <w:szCs w:val="28"/>
          <w:lang w:val="ru-RU"/>
        </w:rPr>
        <w:t>"</w:t>
      </w:r>
      <w:r w:rsidR="00124AC1"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22258A">
        <w:rPr>
          <w:rFonts w:ascii="Times New Roman" w:hAnsi="Times New Roman"/>
          <w:sz w:val="28"/>
          <w:szCs w:val="28"/>
          <w:lang w:val="ru-RU"/>
        </w:rPr>
        <w:t>"</w:t>
      </w:r>
      <w:r w:rsidR="00124AC1" w:rsidRPr="00124AC1">
        <w:rPr>
          <w:rFonts w:ascii="Times New Roman" w:hAnsi="Times New Roman"/>
          <w:sz w:val="28"/>
          <w:szCs w:val="28"/>
          <w:lang w:val="ru-RU"/>
        </w:rPr>
        <w:t>, требованиями технических регламентов, сводов правил с учетом материалов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="00124AC1"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Pr="006B30CA">
        <w:rPr>
          <w:rFonts w:ascii="Times New Roman" w:hAnsi="Times New Roman"/>
          <w:sz w:val="28"/>
          <w:szCs w:val="28"/>
          <w:lang w:val="ru-RU"/>
        </w:rPr>
        <w:t xml:space="preserve">части элемента планировочной структуры ул. Гагарина, ул. </w:t>
      </w:r>
      <w:proofErr w:type="spellStart"/>
      <w:r w:rsidRPr="006B30CA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Pr="006B30CA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B30CA">
        <w:rPr>
          <w:rFonts w:ascii="Times New Roman" w:hAnsi="Times New Roman"/>
          <w:sz w:val="28"/>
          <w:szCs w:val="28"/>
          <w:lang w:val="ru-RU"/>
        </w:rPr>
        <w:t>установить границу зоны планируемого размещения объекта капитального строительства – детский сад на 125 мест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4C68C4" w:rsidRDefault="006B30CA" w:rsidP="004C68C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6B30CA" w:rsidRP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B30CA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дошкольной образовательной организации (детский сад на 125 мест), в границах части элемента планировочной структуры: ул. Гагарина, ул. </w:t>
      </w:r>
      <w:proofErr w:type="spellStart"/>
      <w:r w:rsidRPr="006B30CA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Pr="006B30CA">
        <w:rPr>
          <w:rFonts w:ascii="Times New Roman" w:hAnsi="Times New Roman"/>
          <w:sz w:val="28"/>
          <w:szCs w:val="28"/>
          <w:lang w:val="ru-RU"/>
        </w:rPr>
        <w:t xml:space="preserve">, просп. Дзержинского осуществляется из бюджетных средств </w:t>
      </w:r>
      <w:r w:rsidR="009139F9">
        <w:rPr>
          <w:rFonts w:ascii="Times New Roman" w:hAnsi="Times New Roman"/>
          <w:sz w:val="28"/>
          <w:szCs w:val="28"/>
          <w:lang w:val="ru-RU"/>
        </w:rPr>
        <w:t>федерального бюджета</w:t>
      </w:r>
      <w:r w:rsidRPr="006B30CA">
        <w:rPr>
          <w:rFonts w:ascii="Times New Roman" w:hAnsi="Times New Roman"/>
          <w:sz w:val="28"/>
          <w:szCs w:val="28"/>
          <w:lang w:val="ru-RU"/>
        </w:rPr>
        <w:t>.</w:t>
      </w:r>
    </w:p>
    <w:p w:rsidR="003956DB" w:rsidRDefault="003956D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действия по внесению изменений  в Генеральный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>равила землепользования и застройки городского округа "Город 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29 сентября 2020 года № 68-п (с изменениями)</w:t>
      </w:r>
      <w:r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3F32BC" w:rsidRDefault="003F32BC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с момента направления 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13AC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на согласование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lastRenderedPageBreak/>
        <w:t xml:space="preserve">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B257E2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257E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настоящим Договором, а также условие о размещении на первых этажах указанных домов нежилых помещений;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857807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857807" w:rsidRDefault="00857807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57807">
        <w:rPr>
          <w:rFonts w:ascii="Times New Roman" w:hAnsi="Times New Roman"/>
          <w:sz w:val="28"/>
          <w:szCs w:val="28"/>
          <w:lang w:val="ru-RU"/>
        </w:rPr>
        <w:t xml:space="preserve">Объекты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857807">
        <w:rPr>
          <w:rFonts w:ascii="Times New Roman" w:hAnsi="Times New Roman"/>
          <w:sz w:val="28"/>
          <w:szCs w:val="28"/>
          <w:lang w:val="ru-RU"/>
        </w:rPr>
        <w:t>на 2019 – 2025 годы" (в редакции постановления Правител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ьства Архангельской области от </w:t>
      </w:r>
      <w:r w:rsidRPr="00857807">
        <w:rPr>
          <w:rFonts w:ascii="Times New Roman" w:hAnsi="Times New Roman"/>
          <w:sz w:val="28"/>
          <w:szCs w:val="28"/>
          <w:lang w:val="ru-RU"/>
        </w:rPr>
        <w:t>9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июля </w:t>
      </w:r>
      <w:r w:rsidRPr="00857807">
        <w:rPr>
          <w:rFonts w:ascii="Times New Roman" w:hAnsi="Times New Roman"/>
          <w:sz w:val="28"/>
          <w:szCs w:val="28"/>
          <w:lang w:val="ru-RU"/>
        </w:rPr>
        <w:t>2021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Pr="00857807">
        <w:rPr>
          <w:rFonts w:ascii="Times New Roman" w:hAnsi="Times New Roman"/>
          <w:sz w:val="28"/>
          <w:szCs w:val="28"/>
          <w:lang w:val="ru-RU"/>
        </w:rPr>
        <w:t xml:space="preserve"> № 342-пп) в границах части элемента планировочной структуры: ул. Гагарина, ул. </w:t>
      </w:r>
      <w:proofErr w:type="spellStart"/>
      <w:r w:rsidRPr="00857807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Pr="00857807">
        <w:rPr>
          <w:rFonts w:ascii="Times New Roman" w:hAnsi="Times New Roman"/>
          <w:sz w:val="28"/>
          <w:szCs w:val="28"/>
          <w:lang w:val="ru-RU"/>
        </w:rPr>
        <w:t>, просп. Дзержинского отсутствуют.</w:t>
      </w:r>
      <w:proofErr w:type="gramEnd"/>
    </w:p>
    <w:p w:rsidR="00CD564E" w:rsidRPr="009A7171" w:rsidRDefault="004A03B3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22258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305DB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установленными </w:t>
      </w:r>
      <w:r w:rsidR="003B50A6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3B50A6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F04469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м, указанным в решении суда, в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планируемом сносе объекта капитального строительства. 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завершении сноса объекта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капитального строительства в соответствии с действующим градостроительным законодательством.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территории жилой застройки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установленными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Осуществить в границах территории жилой застройки согласно требованиям законодательства о градостроительной деятельности строительство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осуществить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FF7CD5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7807">
        <w:rPr>
          <w:rFonts w:ascii="Times New Roman" w:hAnsi="Times New Roman"/>
          <w:sz w:val="28"/>
          <w:szCs w:val="28"/>
          <w:lang w:val="ru-RU"/>
        </w:rPr>
        <w:t>39 736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237A7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2237A7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возложена на третьих лиц в соответствии с требованиями действующего законодательства, заключенными соглашениями (договорами), в соответствии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3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E56335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1.1.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в эксплуатацию) в полном объеме объектов капитального строительства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lastRenderedPageBreak/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для эксплуатации построенных объектов капитального строительства 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выполнении обязательств, предусмотренных настоящим Договором,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об осуществлении деятельности, связанной с реализацией настоящего Договора.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Информацию за первое полугодие предоставлять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 (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br/>
        <w:t xml:space="preserve">к настоящему Договору),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по форме, указанной в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22258A">
        <w:rPr>
          <w:rFonts w:ascii="Times New Roman" w:hAnsi="Times New Roman"/>
          <w:sz w:val="28"/>
          <w:szCs w:val="28"/>
          <w:lang w:val="ru-RU"/>
        </w:rPr>
        <w:t>Д</w:t>
      </w:r>
      <w:r w:rsidR="0022258A" w:rsidRPr="006676A6">
        <w:rPr>
          <w:rFonts w:ascii="Times New Roman" w:hAnsi="Times New Roman"/>
          <w:sz w:val="28"/>
          <w:szCs w:val="28"/>
          <w:lang w:val="ru-RU"/>
        </w:rPr>
        <w:t>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в 2 (двух) экземплярах по форме, указанной в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60699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br/>
        <w:t xml:space="preserve">в течение </w:t>
      </w:r>
      <w:r w:rsidRPr="009A7171">
        <w:rPr>
          <w:rFonts w:ascii="Times New Roman" w:hAnsi="Times New Roman"/>
          <w:sz w:val="28"/>
          <w:szCs w:val="28"/>
          <w:lang w:val="ru-RU"/>
        </w:rPr>
        <w:t>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в случае отсутствия информации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таком банковском счете.</w:t>
      </w:r>
    </w:p>
    <w:p w:rsidR="00BE7826" w:rsidRPr="007A689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земельным законодательством для строительства в границах территории жилой застройки, 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606994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456CE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>В течение 1 (одного) месяца с даты заключения настоящего Договора предоставить "Застройщику" номенклатуру жилых помещений 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             № 2 к настоящему Договору. </w:t>
      </w:r>
      <w:proofErr w:type="gramEnd"/>
    </w:p>
    <w:p w:rsidR="00CA2E30" w:rsidRPr="00CA2E30" w:rsidRDefault="00883FDF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 xml:space="preserve">в соответствии с требованиями Градостроительного кодекса Российской Федерации, Порядка внесения изменений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lastRenderedPageBreak/>
        <w:t xml:space="preserve">в документацию по планировке территории, отмены такой документации или ее отдельных частей, признания отдельных частей такой документации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 xml:space="preserve">не подлежащими применению, утвержденного постановлением "Администрации"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от 12 мая 2021 года № 862.</w:t>
      </w:r>
      <w:proofErr w:type="gramEnd"/>
    </w:p>
    <w:p w:rsidR="00CA2E30" w:rsidRDefault="00CA2E30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на доработку, срок, установленный в абзаце первом настоящего пункта, начинает исчисляться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по планировке территории после доработки.</w:t>
      </w:r>
    </w:p>
    <w:p w:rsidR="00E56335" w:rsidRPr="009A7171" w:rsidRDefault="00883FDF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 возврате информации на доработку.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для муниципальных нужд жилых помещений,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в многоквартирных домах, признанных аварийными и подлежащими сносу, а также земельных участков, на которых расположены такие многоквартирные дома.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2E7CEC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7CE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7CEC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 настоящему Договору и признанных аварийными и подлежащими сносу, иных объектов капитального строительства, объектов инженерно-технического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обеспечения, указанных в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с этапами реализации решения о комплексном развитии территории жилой застройки, предусмотренными </w:t>
      </w:r>
      <w:r w:rsidR="0022258A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настоящего Договора, 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решение о предоставлении "Застройщику" в аренду без проведения торгов в соответствии с земельным законодательством 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государственная собственность на  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551ACA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E56335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Pr="00342482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EB04D9" w:rsidRPr="009A7171" w:rsidRDefault="00EB04D9" w:rsidP="00E56335">
      <w:pPr>
        <w:spacing w:before="100" w:beforeAutospacing="1" w:after="238"/>
        <w:contextualSpacing/>
        <w:jc w:val="center"/>
        <w:rPr>
          <w:rFonts w:ascii="Arial" w:hAnsi="Arial" w:cs="Arial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от цены права на заключение Договора (цена права на заключение 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F938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 даты получения уведомления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об уплате неустойки (пени), а также возмещает причиненные убытки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полном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в том числе без выданного в установленном законом порядке разрешения 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от цены права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>8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для целей ком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плексного развития территории, </w:t>
      </w:r>
      <w:r w:rsidRPr="009A7171">
        <w:rPr>
          <w:rFonts w:ascii="Times New Roman" w:hAnsi="Times New Roman"/>
          <w:sz w:val="28"/>
          <w:szCs w:val="28"/>
          <w:lang w:val="ru-RU"/>
        </w:rPr>
        <w:t>подлежит прекращению.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Pr="00503CBE" w:rsidRDefault="00C15077" w:rsidP="00C15077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E56335" w:rsidRPr="00C15077" w:rsidRDefault="00E56335" w:rsidP="00E56335">
      <w:pPr>
        <w:spacing w:before="100" w:beforeAutospacing="1" w:after="238"/>
        <w:ind w:left="363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857807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857807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22258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продляется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>. В случае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в одном периоде времени ведется несколько производств в судах,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 законную силу последнего решения суда. </w:t>
      </w:r>
    </w:p>
    <w:p w:rsidR="0023325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в одностороннем порядке: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5.4.3. Изменение условий настоящего Договора в период его действия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741412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E56335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при осуществлении предпринимательской деятельности, несет ответственность, если не докажет,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в частности, нарушение обязанностей со стороны контрагентов должника, отсутствие на рынке нужных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для исполнения товаров, отсутствие у должника необходимых денежных средств. </w:t>
      </w:r>
    </w:p>
    <w:p w:rsidR="00BB0031" w:rsidRPr="00BB0031" w:rsidRDefault="00BB0031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741412">
      <w:pPr>
        <w:numPr>
          <w:ilvl w:val="0"/>
          <w:numId w:val="50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с уведомлением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вручении.</w:t>
      </w:r>
    </w:p>
    <w:p w:rsidR="001E2FF9" w:rsidRPr="009A7171" w:rsidRDefault="001E2FF9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</w:t>
      </w:r>
      <w:r w:rsidR="0022258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исполнение обязательств.</w:t>
      </w:r>
    </w:p>
    <w:p w:rsidR="00E56335" w:rsidRPr="00EB6931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22258A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EB6931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Местоположение, границы территории жилой застройки</w:t>
      </w:r>
      <w:r w:rsidR="007414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в границах части элемента планировочной 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lastRenderedPageBreak/>
        <w:t xml:space="preserve">структуры: </w:t>
      </w:r>
      <w:r w:rsidR="00857807" w:rsidRPr="00857807">
        <w:rPr>
          <w:rFonts w:ascii="Times New Roman" w:hAnsi="Times New Roman"/>
          <w:sz w:val="28"/>
          <w:szCs w:val="28"/>
          <w:lang w:val="ru-RU"/>
        </w:rPr>
        <w:t xml:space="preserve">ул. Гагарина, ул. </w:t>
      </w:r>
      <w:proofErr w:type="spellStart"/>
      <w:r w:rsidR="00857807" w:rsidRPr="00857807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857807" w:rsidRPr="00857807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</w:t>
      </w:r>
      <w:r w:rsidR="001B6285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, со схемой</w:t>
      </w:r>
      <w:r w:rsidR="001B628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22258A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95EA9" w:rsidRPr="00EB6931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Перечень</w:t>
      </w:r>
      <w:r w:rsidR="007414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 xml:space="preserve">объектов капитального строительства,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не являющихся объектами</w:t>
      </w:r>
      <w:r w:rsidR="007414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 xml:space="preserve">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  <w:r w:rsidR="00857807" w:rsidRPr="00857807">
        <w:rPr>
          <w:rFonts w:ascii="Times New Roman" w:hAnsi="Times New Roman"/>
          <w:sz w:val="28"/>
          <w:szCs w:val="28"/>
          <w:lang w:val="ru-RU"/>
        </w:rPr>
        <w:t xml:space="preserve">ул. Гагарина, ул. </w:t>
      </w:r>
      <w:proofErr w:type="spellStart"/>
      <w:r w:rsidR="00857807" w:rsidRPr="00857807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857807" w:rsidRPr="00857807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,</w:t>
      </w:r>
      <w:r w:rsidR="007414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1412" w:rsidRPr="00741412">
        <w:rPr>
          <w:rFonts w:ascii="Times New Roman" w:hAnsi="Times New Roman"/>
          <w:sz w:val="28"/>
          <w:szCs w:val="28"/>
          <w:lang w:val="ru-RU"/>
        </w:rPr>
        <w:t>подлежащей комплексному развитию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22258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22258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EB6931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EB6931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857807" w:rsidRPr="00857807">
        <w:rPr>
          <w:rFonts w:ascii="Times New Roman" w:hAnsi="Times New Roman"/>
          <w:sz w:val="28"/>
          <w:szCs w:val="28"/>
          <w:lang w:val="ru-RU"/>
        </w:rPr>
        <w:t>ул. Гагарина, у</w:t>
      </w:r>
      <w:r w:rsidR="00857807">
        <w:rPr>
          <w:rFonts w:ascii="Times New Roman" w:hAnsi="Times New Roman"/>
          <w:sz w:val="28"/>
          <w:szCs w:val="28"/>
          <w:lang w:val="ru-RU"/>
        </w:rPr>
        <w:t xml:space="preserve">л. </w:t>
      </w:r>
      <w:proofErr w:type="spellStart"/>
      <w:r w:rsidR="00857807">
        <w:rPr>
          <w:rFonts w:ascii="Times New Roman" w:hAnsi="Times New Roman"/>
          <w:sz w:val="28"/>
          <w:szCs w:val="28"/>
          <w:lang w:val="ru-RU"/>
        </w:rPr>
        <w:t>Розинга</w:t>
      </w:r>
      <w:proofErr w:type="spellEnd"/>
      <w:r w:rsidR="00857807">
        <w:rPr>
          <w:rFonts w:ascii="Times New Roman" w:hAnsi="Times New Roman"/>
          <w:sz w:val="28"/>
          <w:szCs w:val="28"/>
          <w:lang w:val="ru-RU"/>
        </w:rPr>
        <w:t>, просп. Дзержинского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22258A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Pr="009A7171" w:rsidRDefault="00741412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BB0031" w:rsidRDefault="00741412" w:rsidP="00741412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BB0031" w:rsidRDefault="00BB0031" w:rsidP="00BB0031">
      <w:pPr>
        <w:ind w:left="720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9D1D2B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857807">
      <w:headerReference w:type="default" r:id="rId10"/>
      <w:footerReference w:type="even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AEF" w:rsidRDefault="00252AEF">
      <w:r>
        <w:separator/>
      </w:r>
    </w:p>
  </w:endnote>
  <w:endnote w:type="continuationSeparator" w:id="0">
    <w:p w:rsidR="00252AEF" w:rsidRDefault="0025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AEF" w:rsidRDefault="00252AEF">
      <w:r>
        <w:separator/>
      </w:r>
    </w:p>
  </w:footnote>
  <w:footnote w:type="continuationSeparator" w:id="0">
    <w:p w:rsidR="00252AEF" w:rsidRDefault="00252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AEE" w:rsidRDefault="00C53AEE">
    <w:pPr>
      <w:pStyle w:val="a3"/>
      <w:jc w:val="center"/>
    </w:pPr>
  </w:p>
  <w:p w:rsidR="00C53AEE" w:rsidRDefault="00C53A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440A88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F8DA7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58A"/>
    <w:rsid w:val="002228F2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2AEF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3E89"/>
    <w:rsid w:val="002E4062"/>
    <w:rsid w:val="002E475D"/>
    <w:rsid w:val="002E528A"/>
    <w:rsid w:val="002E5DD6"/>
    <w:rsid w:val="002E739D"/>
    <w:rsid w:val="002E7B47"/>
    <w:rsid w:val="002E7CEC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5DB3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CE2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0A6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9F9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3B63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7E2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E4C"/>
    <w:rsid w:val="00BD5597"/>
    <w:rsid w:val="00BD580A"/>
    <w:rsid w:val="00BD5C52"/>
    <w:rsid w:val="00BD6E53"/>
    <w:rsid w:val="00BD6FAA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0B4F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5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9E63-131A-47D4-AF9B-1CE90EAC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12</TotalTime>
  <Pages>16</Pages>
  <Words>4271</Words>
  <Characters>32150</Characters>
  <Application>Microsoft Office Word</Application>
  <DocSecurity>0</DocSecurity>
  <Lines>267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36349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Ольга Борисовна Александрова</cp:lastModifiedBy>
  <cp:revision>9</cp:revision>
  <cp:lastPrinted>2023-04-21T05:38:00Z</cp:lastPrinted>
  <dcterms:created xsi:type="dcterms:W3CDTF">2023-04-20T11:11:00Z</dcterms:created>
  <dcterms:modified xsi:type="dcterms:W3CDTF">2023-04-21T05:38:00Z</dcterms:modified>
  <cp:category>Бланк</cp:category>
</cp:coreProperties>
</file>